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E43E" w14:textId="5EEA2A68" w:rsidR="004C31C5" w:rsidRPr="00366AC7" w:rsidRDefault="00DA344D" w:rsidP="00366AC7">
      <w:pPr>
        <w:shd w:val="clear" w:color="auto" w:fill="FFFFFF"/>
        <w:tabs>
          <w:tab w:val="left" w:pos="3067"/>
        </w:tabs>
        <w:ind w:firstLine="567"/>
        <w:jc w:val="center"/>
        <w:rPr>
          <w:b/>
          <w:bCs/>
          <w:sz w:val="28"/>
          <w:szCs w:val="28"/>
        </w:rPr>
      </w:pPr>
      <w:r w:rsidRPr="00366AC7">
        <w:rPr>
          <w:b/>
          <w:sz w:val="28"/>
          <w:szCs w:val="28"/>
        </w:rPr>
        <w:t xml:space="preserve">ЛАБОРАТОРНАЯ РАБОТА </w:t>
      </w:r>
      <w:r>
        <w:rPr>
          <w:b/>
          <w:sz w:val="28"/>
          <w:szCs w:val="28"/>
        </w:rPr>
        <w:t>№</w:t>
      </w:r>
      <w:r w:rsidR="00C848BA">
        <w:rPr>
          <w:b/>
          <w:sz w:val="28"/>
          <w:szCs w:val="28"/>
        </w:rPr>
        <w:t>6</w:t>
      </w:r>
    </w:p>
    <w:p w14:paraId="01D2ECD4" w14:textId="30B20F6C" w:rsidR="004C31C5" w:rsidRPr="00366AC7" w:rsidRDefault="00DA344D" w:rsidP="00366AC7">
      <w:pPr>
        <w:pStyle w:val="BodyTextIndent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</w:t>
      </w:r>
      <w:r w:rsidR="004A348C">
        <w:rPr>
          <w:rFonts w:ascii="Times New Roman" w:hAnsi="Times New Roman"/>
          <w:bCs w:val="0"/>
          <w:sz w:val="28"/>
          <w:szCs w:val="28"/>
        </w:rPr>
        <w:t xml:space="preserve">Тестирование программ методом </w:t>
      </w:r>
      <w:r w:rsidR="002A416B">
        <w:rPr>
          <w:rFonts w:ascii="Times New Roman" w:hAnsi="Times New Roman"/>
          <w:bCs w:val="0"/>
          <w:sz w:val="28"/>
          <w:szCs w:val="28"/>
        </w:rPr>
        <w:t>«</w:t>
      </w:r>
      <w:r w:rsidR="005C1DC0">
        <w:rPr>
          <w:rFonts w:ascii="Times New Roman" w:hAnsi="Times New Roman"/>
          <w:bCs w:val="0"/>
          <w:sz w:val="28"/>
          <w:szCs w:val="28"/>
        </w:rPr>
        <w:t>черного</w:t>
      </w:r>
      <w:r w:rsidR="004A348C">
        <w:rPr>
          <w:rFonts w:ascii="Times New Roman" w:hAnsi="Times New Roman"/>
          <w:bCs w:val="0"/>
          <w:sz w:val="28"/>
          <w:szCs w:val="28"/>
        </w:rPr>
        <w:t xml:space="preserve"> ящика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14:paraId="13D42D60" w14:textId="77777777" w:rsidR="00366AC7" w:rsidRDefault="00366AC7" w:rsidP="00366AC7">
      <w:pPr>
        <w:shd w:val="clear" w:color="auto" w:fill="FFFFFF"/>
        <w:ind w:firstLine="567"/>
        <w:jc w:val="both"/>
        <w:rPr>
          <w:b/>
          <w:bCs/>
          <w:i/>
          <w:iCs/>
        </w:rPr>
      </w:pPr>
    </w:p>
    <w:p w14:paraId="1196B258" w14:textId="5B0D2410" w:rsidR="004A348C" w:rsidRDefault="004C31C5" w:rsidP="004A348C">
      <w:pPr>
        <w:shd w:val="clear" w:color="auto" w:fill="FFFFFF"/>
        <w:ind w:firstLine="567"/>
        <w:jc w:val="both"/>
      </w:pPr>
      <w:r w:rsidRPr="00DA344D">
        <w:rPr>
          <w:b/>
          <w:bCs/>
          <w:iCs/>
        </w:rPr>
        <w:t>Цель работы</w:t>
      </w:r>
      <w:r w:rsidR="00DA344D">
        <w:rPr>
          <w:b/>
          <w:bCs/>
        </w:rPr>
        <w:t>.</w:t>
      </w:r>
      <w:r w:rsidR="00DA344D">
        <w:t xml:space="preserve"> </w:t>
      </w:r>
      <w:r w:rsidR="004A348C">
        <w:t>Отработать навыки составления и тестирования программ как «</w:t>
      </w:r>
      <w:r w:rsidR="005C1DC0">
        <w:t>черно</w:t>
      </w:r>
      <w:r w:rsidR="004A348C">
        <w:t>го ящика»</w:t>
      </w:r>
      <w:r w:rsidR="0031400B" w:rsidRPr="0031400B">
        <w:t>.</w:t>
      </w:r>
    </w:p>
    <w:p w14:paraId="3B5D7952" w14:textId="77777777" w:rsidR="005A0B7F" w:rsidRPr="0031400B" w:rsidRDefault="005A0B7F" w:rsidP="004A348C">
      <w:pPr>
        <w:shd w:val="clear" w:color="auto" w:fill="FFFFFF"/>
        <w:ind w:firstLine="567"/>
        <w:jc w:val="both"/>
      </w:pPr>
    </w:p>
    <w:p w14:paraId="784F6718" w14:textId="77777777" w:rsidR="004C31C5" w:rsidRPr="00366AC7" w:rsidRDefault="004C31C5" w:rsidP="00366AC7">
      <w:pPr>
        <w:pStyle w:val="Heading1"/>
        <w:shd w:val="clear" w:color="auto" w:fill="FFFFFF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AC7">
        <w:rPr>
          <w:rFonts w:ascii="Times New Roman" w:hAnsi="Times New Roman" w:cs="Times New Roman"/>
          <w:kern w:val="0"/>
          <w:sz w:val="24"/>
          <w:szCs w:val="24"/>
        </w:rPr>
        <w:t>Теоретическая часть</w:t>
      </w:r>
    </w:p>
    <w:p w14:paraId="386967F8" w14:textId="77777777" w:rsidR="005C1DC0" w:rsidRPr="005C1DC0" w:rsidRDefault="005C1DC0" w:rsidP="005C1DC0">
      <w:pPr>
        <w:shd w:val="clear" w:color="auto" w:fill="FFFFFF"/>
        <w:ind w:firstLine="567"/>
        <w:jc w:val="both"/>
      </w:pPr>
      <w:r w:rsidRPr="005C1DC0">
        <w:t>Особенность тестировании программ как «черный ящик» заключается в следующем:</w:t>
      </w:r>
    </w:p>
    <w:p w14:paraId="3EC65E4D" w14:textId="77777777" w:rsidR="005C1DC0" w:rsidRPr="005C1DC0" w:rsidRDefault="005C1DC0" w:rsidP="005C1DC0">
      <w:pPr>
        <w:shd w:val="clear" w:color="auto" w:fill="FFFFFF"/>
        <w:ind w:firstLine="567"/>
        <w:jc w:val="both"/>
        <w:rPr>
          <w:b/>
        </w:rPr>
      </w:pPr>
      <w:r w:rsidRPr="005C1DC0">
        <w:rPr>
          <w:b/>
        </w:rPr>
        <w:t>Известны:</w:t>
      </w:r>
      <w:r w:rsidRPr="005C1DC0">
        <w:t xml:space="preserve"> функции программы.</w:t>
      </w:r>
    </w:p>
    <w:p w14:paraId="5B1C7534" w14:textId="1E20325D" w:rsidR="005C1DC0" w:rsidRPr="005C1DC0" w:rsidRDefault="005C1DC0" w:rsidP="005C1DC0">
      <w:pPr>
        <w:shd w:val="clear" w:color="auto" w:fill="FFFFFF"/>
        <w:ind w:firstLine="567"/>
        <w:jc w:val="both"/>
        <w:rPr>
          <w:b/>
        </w:rPr>
      </w:pPr>
      <w:r w:rsidRPr="005C1DC0">
        <w:rPr>
          <w:b/>
        </w:rPr>
        <w:t>Исследуется:</w:t>
      </w:r>
      <w:r w:rsidRPr="005C1DC0">
        <w:t xml:space="preserve"> работа каждой функции на всей области определения.</w:t>
      </w:r>
    </w:p>
    <w:p w14:paraId="313D09CC" w14:textId="78D24A31" w:rsidR="005C1DC0" w:rsidRDefault="005C1DC0" w:rsidP="005C1DC0">
      <w:pPr>
        <w:shd w:val="clear" w:color="auto" w:fill="FFFFFF"/>
        <w:ind w:firstLine="567"/>
        <w:jc w:val="both"/>
      </w:pPr>
      <w:r w:rsidRPr="005C1DC0">
        <w:t>Как показано на рис</w:t>
      </w:r>
      <w:r>
        <w:t>унке</w:t>
      </w:r>
      <w:r w:rsidRPr="005C1DC0">
        <w:t xml:space="preserve">, основное место приложения тестов «черного ящика» </w:t>
      </w:r>
      <w:r>
        <w:t>–</w:t>
      </w:r>
      <w:r w:rsidRPr="005C1DC0">
        <w:t xml:space="preserve"> интерфейс ПО.</w:t>
      </w:r>
    </w:p>
    <w:p w14:paraId="11AABBBD" w14:textId="3C86C8F0" w:rsidR="00C848BA" w:rsidRDefault="00C848BA" w:rsidP="00C848BA">
      <w:pPr>
        <w:shd w:val="clear" w:color="auto" w:fill="FFFFFF"/>
        <w:ind w:firstLine="567"/>
        <w:jc w:val="center"/>
      </w:pPr>
      <w:r w:rsidRPr="00C848BA">
        <w:rPr>
          <w:noProof/>
        </w:rPr>
        <w:drawing>
          <wp:inline distT="0" distB="0" distL="0" distR="0" wp14:anchorId="19D76D6A" wp14:editId="69071919">
            <wp:extent cx="2916635" cy="89177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103" cy="8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D7B9" w14:textId="46F07540" w:rsidR="00C848BA" w:rsidRPr="00C848BA" w:rsidRDefault="00C848BA" w:rsidP="00C848BA">
      <w:pPr>
        <w:shd w:val="clear" w:color="auto" w:fill="FFFFFF"/>
        <w:jc w:val="center"/>
      </w:pPr>
      <w:r>
        <w:t>Рисунок 6.1 – Тестирование «черного ящика»</w:t>
      </w:r>
    </w:p>
    <w:p w14:paraId="03952192" w14:textId="77777777" w:rsidR="00C848BA" w:rsidRDefault="00C848BA" w:rsidP="00C848BA">
      <w:pPr>
        <w:shd w:val="clear" w:color="auto" w:fill="FFFFFF"/>
        <w:ind w:firstLine="567"/>
        <w:jc w:val="both"/>
      </w:pPr>
      <w:r>
        <w:t>Эти тесты демонстрируют:</w:t>
      </w:r>
    </w:p>
    <w:p w14:paraId="0B358947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как выполняются функции программ;</w:t>
      </w:r>
    </w:p>
    <w:p w14:paraId="1FE014DA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как принимаются исходные данные;</w:t>
      </w:r>
    </w:p>
    <w:p w14:paraId="728CC18A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как вырабатываются результаты;</w:t>
      </w:r>
    </w:p>
    <w:p w14:paraId="1CE9BCE0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как сохраняется целостность внешней информации.</w:t>
      </w:r>
    </w:p>
    <w:p w14:paraId="696246FB" w14:textId="76A778B9" w:rsidR="00C848BA" w:rsidRDefault="00C848BA" w:rsidP="00C848BA">
      <w:pPr>
        <w:shd w:val="clear" w:color="auto" w:fill="FFFFFF"/>
        <w:ind w:firstLine="567"/>
        <w:jc w:val="both"/>
      </w:pPr>
      <w:r>
        <w:t>При тестировании «черного ящика» рассматриваются системные характеристики программ, игнорируется их внутренняя логическая структура.</w:t>
      </w:r>
    </w:p>
    <w:p w14:paraId="11CF4EA4" w14:textId="59089FC0" w:rsidR="00C848BA" w:rsidRDefault="00C848BA" w:rsidP="00C848BA">
      <w:pPr>
        <w:shd w:val="clear" w:color="auto" w:fill="FFFFFF"/>
        <w:ind w:firstLine="567"/>
        <w:jc w:val="both"/>
      </w:pPr>
    </w:p>
    <w:p w14:paraId="66A9EFCB" w14:textId="77777777" w:rsidR="00C848BA" w:rsidRPr="00C848BA" w:rsidRDefault="00C848BA" w:rsidP="00C848BA">
      <w:pPr>
        <w:shd w:val="clear" w:color="auto" w:fill="FFFFFF"/>
        <w:jc w:val="center"/>
        <w:rPr>
          <w:b/>
        </w:rPr>
      </w:pPr>
      <w:r w:rsidRPr="00C848BA">
        <w:rPr>
          <w:b/>
        </w:rPr>
        <w:t>Методы черного ящика</w:t>
      </w:r>
    </w:p>
    <w:p w14:paraId="4D17C931" w14:textId="6EF4AE50" w:rsidR="00C848BA" w:rsidRDefault="00C848BA" w:rsidP="00C848BA">
      <w:pPr>
        <w:shd w:val="clear" w:color="auto" w:fill="FFFFFF"/>
        <w:ind w:firstLine="567"/>
        <w:jc w:val="both"/>
      </w:pPr>
      <w:bookmarkStart w:id="0" w:name="_GoBack"/>
      <w:bookmarkEnd w:id="0"/>
      <w:r>
        <w:t>1. Метод эквивалентных разбиений</w:t>
      </w:r>
    </w:p>
    <w:p w14:paraId="248E36CB" w14:textId="77777777" w:rsidR="00C848BA" w:rsidRDefault="00C848BA" w:rsidP="00C848BA">
      <w:pPr>
        <w:shd w:val="clear" w:color="auto" w:fill="FFFFFF"/>
        <w:ind w:firstLine="567"/>
        <w:jc w:val="both"/>
      </w:pPr>
      <w:r>
        <w:t>Его основу составляют 2 положения:</w:t>
      </w:r>
    </w:p>
    <w:p w14:paraId="7ED8C2FD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 xml:space="preserve">Каждый тип должен включать столько различных входных и выходных условий, сколько необходимо </w:t>
      </w:r>
      <w:proofErr w:type="gramStart"/>
      <w:r>
        <w:t>для того, что бы</w:t>
      </w:r>
      <w:proofErr w:type="gramEnd"/>
      <w:r>
        <w:t xml:space="preserve"> минимизировать общее число необходимых тестов.</w:t>
      </w:r>
    </w:p>
    <w:p w14:paraId="5CBD5B6B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Необходимо разбивать входную область программы на конечное число классов эквивалентности</w:t>
      </w:r>
    </w:p>
    <w:p w14:paraId="67690D48" w14:textId="77777777" w:rsidR="00C848BA" w:rsidRDefault="00C848BA" w:rsidP="00C848BA">
      <w:pPr>
        <w:shd w:val="clear" w:color="auto" w:fill="FFFFFF"/>
        <w:ind w:firstLine="567"/>
        <w:jc w:val="both"/>
      </w:pPr>
      <w:r>
        <w:t xml:space="preserve">Класс эквивалентности выделяется путем выбора каждого входного </w:t>
      </w:r>
      <w:proofErr w:type="gramStart"/>
      <w:r>
        <w:t>условия  и</w:t>
      </w:r>
      <w:proofErr w:type="gramEnd"/>
      <w:r>
        <w:t xml:space="preserve"> разбиением его на две или более групп.</w:t>
      </w:r>
    </w:p>
    <w:p w14:paraId="442F7532" w14:textId="7BDD7AA9" w:rsidR="00C848BA" w:rsidRDefault="00C848BA" w:rsidP="00C848BA">
      <w:pPr>
        <w:shd w:val="clear" w:color="auto" w:fill="FFFFFF"/>
        <w:ind w:firstLine="567"/>
        <w:jc w:val="both"/>
      </w:pPr>
      <w:r>
        <w:t>2. Анализ граничных решений (АГР)</w:t>
      </w:r>
    </w:p>
    <w:p w14:paraId="6BAFEA89" w14:textId="47B01A85" w:rsidR="00C848BA" w:rsidRDefault="00C848BA" w:rsidP="00C848BA">
      <w:pPr>
        <w:shd w:val="clear" w:color="auto" w:fill="FFFFFF"/>
        <w:ind w:firstLine="567"/>
        <w:jc w:val="both"/>
      </w:pPr>
      <w:r>
        <w:t>Граничные условия – ситуация, возникающая непосредственно на границе, выше или ниже границ входных или выходных элементов класса эквивалентности (КЭ)</w:t>
      </w:r>
    </w:p>
    <w:p w14:paraId="56C56EC6" w14:textId="77777777" w:rsidR="00C848BA" w:rsidRDefault="00C848BA" w:rsidP="00C848BA">
      <w:pPr>
        <w:shd w:val="clear" w:color="auto" w:fill="FFFFFF"/>
        <w:ind w:firstLine="567"/>
        <w:jc w:val="both"/>
      </w:pPr>
      <w:r>
        <w:t>АГР предполагает:</w:t>
      </w:r>
    </w:p>
    <w:p w14:paraId="6F377612" w14:textId="752B6A69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Выбор любого элемента в КЭ в качестве представительного при АГЗ осуществляется таким образом, чтобы проверить тестом каждую границу этого класса.</w:t>
      </w:r>
    </w:p>
    <w:p w14:paraId="3DB99011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При разработке тестов рассматриваются не только входные условия, но и выходные.</w:t>
      </w:r>
    </w:p>
    <w:p w14:paraId="12D8BC03" w14:textId="078B3C89" w:rsidR="00C848BA" w:rsidRDefault="00C848BA" w:rsidP="00C848BA">
      <w:pPr>
        <w:shd w:val="clear" w:color="auto" w:fill="FFFFFF"/>
        <w:ind w:firstLine="567"/>
        <w:jc w:val="both"/>
      </w:pPr>
      <w:r>
        <w:t>3. Метод функциональных диаграмм</w:t>
      </w:r>
    </w:p>
    <w:p w14:paraId="1FB17EC8" w14:textId="77777777" w:rsidR="00C848BA" w:rsidRDefault="00C848BA" w:rsidP="00C848BA">
      <w:pPr>
        <w:shd w:val="clear" w:color="auto" w:fill="FFFFFF"/>
        <w:ind w:firstLine="567"/>
        <w:jc w:val="both"/>
      </w:pPr>
      <w:r>
        <w:t xml:space="preserve">Недостатком метод граничных решений и метод эквивалентных разбиений является то, что они не исследуют комбинации входных условий. </w:t>
      </w:r>
    </w:p>
    <w:p w14:paraId="77598144" w14:textId="77777777" w:rsidR="00C848BA" w:rsidRDefault="00C848BA" w:rsidP="00C848BA">
      <w:pPr>
        <w:shd w:val="clear" w:color="auto" w:fill="FFFFFF"/>
        <w:ind w:firstLine="567"/>
        <w:jc w:val="both"/>
      </w:pPr>
      <w:r>
        <w:t>Метод функциональных диаграмм помогает создать высоко результирующие тесты.</w:t>
      </w:r>
    </w:p>
    <w:p w14:paraId="3FC0F9E6" w14:textId="77777777" w:rsidR="00C848BA" w:rsidRDefault="00C848BA" w:rsidP="00C848BA">
      <w:pPr>
        <w:shd w:val="clear" w:color="auto" w:fill="FFFFFF"/>
        <w:ind w:firstLine="567"/>
        <w:jc w:val="both"/>
      </w:pPr>
      <w:r>
        <w:t>Функциональная диаграмма представляет собой формальный язык, на который транслируется спецификация, написанная на естественном языке.</w:t>
      </w:r>
    </w:p>
    <w:p w14:paraId="693FD17B" w14:textId="77777777" w:rsidR="00C848BA" w:rsidRDefault="00C848BA" w:rsidP="00C848BA">
      <w:pPr>
        <w:shd w:val="clear" w:color="auto" w:fill="FFFFFF"/>
        <w:ind w:firstLine="567"/>
        <w:jc w:val="both"/>
      </w:pPr>
      <w:r>
        <w:t>Построение тестов осуществляется в несколько этапов:</w:t>
      </w:r>
    </w:p>
    <w:p w14:paraId="50544F39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спецификация разбивается на несколько участков</w:t>
      </w:r>
    </w:p>
    <w:p w14:paraId="4D701AFE" w14:textId="77777777" w:rsidR="00C848BA" w:rsidRDefault="00C848BA" w:rsidP="00C848BA">
      <w:pPr>
        <w:shd w:val="clear" w:color="auto" w:fill="FFFFFF"/>
        <w:ind w:firstLine="567"/>
        <w:jc w:val="both"/>
      </w:pPr>
      <w:r>
        <w:t>•</w:t>
      </w:r>
      <w:r>
        <w:tab/>
        <w:t>спецификация определяется причиной и следствием</w:t>
      </w:r>
    </w:p>
    <w:p w14:paraId="3AE56F1A" w14:textId="60C86195" w:rsidR="00C848BA" w:rsidRDefault="00C848BA" w:rsidP="00C848BA">
      <w:pPr>
        <w:shd w:val="clear" w:color="auto" w:fill="FFFFFF"/>
        <w:ind w:firstLine="567"/>
        <w:jc w:val="both"/>
      </w:pPr>
      <w:r>
        <w:t>Причины и следствия определяются путем последовательного чтения спецификации, каждой причине и следствию присваивается отдельный номер.</w:t>
      </w:r>
    </w:p>
    <w:p w14:paraId="5F50842C" w14:textId="4E1B2B4E" w:rsidR="00C848BA" w:rsidRDefault="00C848BA" w:rsidP="00C848BA">
      <w:pPr>
        <w:shd w:val="clear" w:color="auto" w:fill="FFFFFF"/>
        <w:ind w:firstLine="567"/>
        <w:jc w:val="both"/>
      </w:pPr>
    </w:p>
    <w:p w14:paraId="03592BBA" w14:textId="5D157FBD" w:rsidR="005C426D" w:rsidRPr="005C426D" w:rsidRDefault="005C426D" w:rsidP="005C426D">
      <w:pPr>
        <w:shd w:val="clear" w:color="auto" w:fill="FFFFFF"/>
        <w:jc w:val="center"/>
        <w:rPr>
          <w:b/>
        </w:rPr>
      </w:pPr>
      <w:r w:rsidRPr="005C426D">
        <w:rPr>
          <w:b/>
        </w:rPr>
        <w:t>Графы причинно-следственных связей</w:t>
      </w:r>
    </w:p>
    <w:p w14:paraId="37970DB4" w14:textId="3496339C" w:rsidR="00053997" w:rsidRDefault="005C426D" w:rsidP="005C426D">
      <w:pPr>
        <w:shd w:val="clear" w:color="auto" w:fill="FFFFFF"/>
        <w:ind w:firstLine="567"/>
        <w:jc w:val="both"/>
      </w:pPr>
      <w:r w:rsidRPr="005C426D">
        <w:rPr>
          <w:b/>
        </w:rPr>
        <w:t>Диаграммы причинно-следственных связей</w:t>
      </w:r>
      <w:r>
        <w:t xml:space="preserve"> используются для проектирования тестовых вариантов и обеспечивают формальную запись логических условий и соответствующих действий. Данный способ является разновидностью тестирования «черного ящика». Используется автоматный подход к решению задачи. </w:t>
      </w:r>
    </w:p>
    <w:p w14:paraId="3AF57470" w14:textId="77777777" w:rsidR="00053997" w:rsidRDefault="005C426D" w:rsidP="005C426D">
      <w:pPr>
        <w:shd w:val="clear" w:color="auto" w:fill="FFFFFF"/>
        <w:ind w:firstLine="567"/>
        <w:jc w:val="both"/>
      </w:pPr>
      <w:r>
        <w:lastRenderedPageBreak/>
        <w:t xml:space="preserve">На первом шаге способа тестирования, основанного на построении диаграмм причинно-следственных связей, для тестируемой программы (или отдельного тестируемого модуля) перечисляются причины (условия ввода или классы эквивалентности условий ввода) и следствия (действия или условия вывода). Каждой причине и следствию присваивается свой идентификатор. </w:t>
      </w:r>
    </w:p>
    <w:p w14:paraId="319D2FE6" w14:textId="38F570CF" w:rsidR="005C426D" w:rsidRDefault="005C426D" w:rsidP="005C426D">
      <w:pPr>
        <w:shd w:val="clear" w:color="auto" w:fill="FFFFFF"/>
        <w:ind w:firstLine="567"/>
        <w:jc w:val="both"/>
      </w:pPr>
      <w:r>
        <w:t xml:space="preserve">На втором шаге данного способа тестирования разрабатывается </w:t>
      </w:r>
      <w:r w:rsidRPr="005C426D">
        <w:rPr>
          <w:b/>
        </w:rPr>
        <w:t>граф причинно-следственных связей</w:t>
      </w:r>
      <w:r>
        <w:t>.</w:t>
      </w:r>
    </w:p>
    <w:p w14:paraId="4BC6829B" w14:textId="77777777" w:rsidR="00C51A2A" w:rsidRDefault="00053997" w:rsidP="00053997">
      <w:pPr>
        <w:shd w:val="clear" w:color="auto" w:fill="FFFFFF"/>
        <w:ind w:firstLine="567"/>
        <w:jc w:val="both"/>
      </w:pPr>
      <w:r>
        <w:t>Введем нотацию б</w:t>
      </w:r>
      <w:r>
        <w:t>азовы</w:t>
      </w:r>
      <w:r>
        <w:t>х</w:t>
      </w:r>
      <w:r>
        <w:t xml:space="preserve"> символ</w:t>
      </w:r>
      <w:r>
        <w:t>ов</w:t>
      </w:r>
      <w:r>
        <w:t xml:space="preserve"> для записи графов причин и следствий. Причины будем обозначать символами </w:t>
      </w:r>
      <w:r>
        <w:rPr>
          <w:lang w:val="en-US"/>
        </w:rPr>
        <w:t>c</w:t>
      </w:r>
      <w:r w:rsidRPr="00053997">
        <w:rPr>
          <w:vertAlign w:val="subscript"/>
          <w:lang w:val="en-US"/>
        </w:rPr>
        <w:t>i</w:t>
      </w:r>
      <w:r>
        <w:t xml:space="preserve">, а следствия — символами </w:t>
      </w:r>
      <w:proofErr w:type="spellStart"/>
      <w:r>
        <w:rPr>
          <w:lang w:val="en-US"/>
        </w:rPr>
        <w:t>e</w:t>
      </w:r>
      <w:r w:rsidRPr="00053997">
        <w:rPr>
          <w:vertAlign w:val="subscript"/>
          <w:lang w:val="en-US"/>
        </w:rPr>
        <w:t>j</w:t>
      </w:r>
      <w:proofErr w:type="spellEnd"/>
      <w:r>
        <w:t xml:space="preserve">. Каждый узел графа может находиться в состоянии 0 (состояние отсутствует) или 1 (состояние присутствует). </w:t>
      </w:r>
    </w:p>
    <w:p w14:paraId="36CC2491" w14:textId="5E71BE78" w:rsidR="00053997" w:rsidRDefault="00053997" w:rsidP="00053997">
      <w:pPr>
        <w:shd w:val="clear" w:color="auto" w:fill="FFFFFF"/>
        <w:ind w:firstLine="567"/>
        <w:jc w:val="both"/>
      </w:pPr>
      <w:r>
        <w:t xml:space="preserve">Функция «тождество» (рис. </w:t>
      </w:r>
      <w:r>
        <w:t>6.2</w:t>
      </w:r>
      <w:r>
        <w:t>) устанавливает, что если значение есть 1, то и значение есть 1. В противном случае значение есть 0.</w:t>
      </w:r>
    </w:p>
    <w:p w14:paraId="4CA4F941" w14:textId="77777777" w:rsidR="00A11609" w:rsidRDefault="00A11609" w:rsidP="00053997">
      <w:pPr>
        <w:shd w:val="clear" w:color="auto" w:fill="FFFFFF"/>
        <w:ind w:firstLine="567"/>
        <w:jc w:val="both"/>
      </w:pPr>
    </w:p>
    <w:p w14:paraId="50A394CF" w14:textId="0F72286A" w:rsidR="00053997" w:rsidRDefault="00053997" w:rsidP="00053997">
      <w:pPr>
        <w:shd w:val="clear" w:color="auto" w:fill="FFFFFF"/>
        <w:jc w:val="center"/>
      </w:pPr>
      <w:r w:rsidRPr="00053997">
        <w:drawing>
          <wp:inline distT="0" distB="0" distL="0" distR="0" wp14:anchorId="29852B8C" wp14:editId="6731F253">
            <wp:extent cx="1153297" cy="338393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660" cy="3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6263" w14:textId="7897C012" w:rsidR="00053997" w:rsidRPr="00C51A2A" w:rsidRDefault="00053997" w:rsidP="00053997">
      <w:pPr>
        <w:shd w:val="clear" w:color="auto" w:fill="FFFFFF"/>
        <w:jc w:val="center"/>
      </w:pPr>
      <w:r>
        <w:t xml:space="preserve">Рисунок </w:t>
      </w:r>
      <w:r>
        <w:t>6.2</w:t>
      </w:r>
      <w:r w:rsidR="00C51A2A">
        <w:t xml:space="preserve"> – Функция «тождество» </w:t>
      </w:r>
    </w:p>
    <w:p w14:paraId="4A807AD3" w14:textId="77777777" w:rsidR="00053997" w:rsidRDefault="00053997" w:rsidP="00053997">
      <w:pPr>
        <w:shd w:val="clear" w:color="auto" w:fill="FFFFFF"/>
        <w:ind w:firstLine="567"/>
        <w:jc w:val="both"/>
      </w:pPr>
    </w:p>
    <w:p w14:paraId="0F9155F5" w14:textId="4BF95E74" w:rsidR="00C51A2A" w:rsidRDefault="00C51A2A" w:rsidP="00C51A2A">
      <w:pPr>
        <w:shd w:val="clear" w:color="auto" w:fill="FFFFFF"/>
        <w:ind w:firstLine="567"/>
        <w:jc w:val="both"/>
      </w:pPr>
      <w:r>
        <w:t xml:space="preserve">Функция «не» (рис. </w:t>
      </w:r>
      <w:r>
        <w:t>6.3</w:t>
      </w:r>
      <w:r>
        <w:t>) устанавливает, что если</w:t>
      </w:r>
      <w:r w:rsidRPr="00C51A2A">
        <w:t xml:space="preserve"> </w:t>
      </w:r>
      <w:r>
        <w:t xml:space="preserve">значение </w:t>
      </w:r>
      <w:r>
        <w:rPr>
          <w:lang w:val="en-US"/>
        </w:rPr>
        <w:t>c</w:t>
      </w:r>
      <w:r w:rsidRPr="00C51A2A">
        <w:rPr>
          <w:vertAlign w:val="subscript"/>
        </w:rPr>
        <w:t>1</w:t>
      </w:r>
      <w:r w:rsidRPr="00C51A2A">
        <w:t xml:space="preserve"> </w:t>
      </w:r>
      <w:r>
        <w:t xml:space="preserve">есть 1, то значение </w:t>
      </w:r>
      <w:r>
        <w:rPr>
          <w:lang w:val="en-US"/>
        </w:rPr>
        <w:t>e</w:t>
      </w:r>
      <w:r w:rsidRPr="00C51A2A">
        <w:rPr>
          <w:vertAlign w:val="subscript"/>
        </w:rPr>
        <w:t>1</w:t>
      </w:r>
      <w:r w:rsidRPr="00C51A2A">
        <w:t xml:space="preserve"> </w:t>
      </w:r>
      <w:r>
        <w:t xml:space="preserve">есть 0. В противном случае значение есть 1. </w:t>
      </w:r>
    </w:p>
    <w:p w14:paraId="44BC3C0D" w14:textId="56D0F8D9" w:rsidR="00C51A2A" w:rsidRDefault="00C51A2A" w:rsidP="00C51A2A">
      <w:pPr>
        <w:shd w:val="clear" w:color="auto" w:fill="FFFFFF"/>
        <w:jc w:val="center"/>
      </w:pPr>
      <w:r w:rsidRPr="00C51A2A">
        <w:drawing>
          <wp:inline distT="0" distB="0" distL="0" distR="0" wp14:anchorId="29E787AE" wp14:editId="1C3CF052">
            <wp:extent cx="1070919" cy="36772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6438" cy="3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416D" w14:textId="1F6479B6" w:rsidR="00C51A2A" w:rsidRDefault="00C51A2A" w:rsidP="00C51A2A">
      <w:pPr>
        <w:shd w:val="clear" w:color="auto" w:fill="FFFFFF"/>
        <w:jc w:val="center"/>
      </w:pPr>
      <w:r>
        <w:t xml:space="preserve">Рис. </w:t>
      </w:r>
      <w:r w:rsidRPr="00C51A2A">
        <w:t>6.3</w:t>
      </w:r>
      <w:r>
        <w:t xml:space="preserve"> Функция «не»</w:t>
      </w:r>
    </w:p>
    <w:p w14:paraId="6A391396" w14:textId="77777777" w:rsidR="00C51A2A" w:rsidRDefault="00C51A2A" w:rsidP="00C51A2A">
      <w:pPr>
        <w:shd w:val="clear" w:color="auto" w:fill="FFFFFF"/>
        <w:ind w:firstLine="567"/>
        <w:jc w:val="both"/>
      </w:pPr>
    </w:p>
    <w:p w14:paraId="11194B63" w14:textId="1FA4C907" w:rsidR="00C51A2A" w:rsidRDefault="00C51A2A" w:rsidP="00C51A2A">
      <w:pPr>
        <w:shd w:val="clear" w:color="auto" w:fill="FFFFFF"/>
        <w:ind w:firstLine="567"/>
        <w:jc w:val="both"/>
      </w:pPr>
      <w:r>
        <w:t xml:space="preserve">Функция «или» (рис. </w:t>
      </w:r>
      <w:r w:rsidRPr="00C51A2A">
        <w:t>6.4</w:t>
      </w:r>
      <w:r>
        <w:t xml:space="preserve">) устанавливает, что если </w:t>
      </w:r>
      <w:r>
        <w:rPr>
          <w:lang w:val="en-US"/>
        </w:rPr>
        <w:t>c</w:t>
      </w:r>
      <w:r w:rsidRPr="00C51A2A">
        <w:rPr>
          <w:vertAlign w:val="subscript"/>
        </w:rPr>
        <w:t>1</w:t>
      </w:r>
      <w:r w:rsidRPr="00C51A2A">
        <w:t xml:space="preserve"> </w:t>
      </w:r>
      <w:r>
        <w:t>или</w:t>
      </w:r>
      <w:r w:rsidRPr="00C51A2A">
        <w:t xml:space="preserve"> </w:t>
      </w:r>
      <w:r>
        <w:rPr>
          <w:lang w:val="en-US"/>
        </w:rPr>
        <w:t>c</w:t>
      </w:r>
      <w:r w:rsidRPr="00C51A2A">
        <w:rPr>
          <w:vertAlign w:val="subscript"/>
        </w:rPr>
        <w:t>2</w:t>
      </w:r>
      <w:r>
        <w:t xml:space="preserve"> есть 1, то </w:t>
      </w:r>
      <w:r>
        <w:rPr>
          <w:lang w:val="en-US"/>
        </w:rPr>
        <w:t>e</w:t>
      </w:r>
      <w:r w:rsidRPr="00C51A2A">
        <w:rPr>
          <w:vertAlign w:val="subscript"/>
        </w:rPr>
        <w:t>1</w:t>
      </w:r>
      <w:r w:rsidRPr="00C51A2A">
        <w:t xml:space="preserve"> </w:t>
      </w:r>
      <w:r>
        <w:t xml:space="preserve">есть 1. В противном случае </w:t>
      </w:r>
      <w:r>
        <w:rPr>
          <w:lang w:val="en-US"/>
        </w:rPr>
        <w:t>e</w:t>
      </w:r>
      <w:r w:rsidRPr="00C51A2A">
        <w:rPr>
          <w:vertAlign w:val="subscript"/>
        </w:rPr>
        <w:t>1</w:t>
      </w:r>
      <w:r w:rsidRPr="00C51A2A">
        <w:t xml:space="preserve"> </w:t>
      </w:r>
      <w:r>
        <w:t xml:space="preserve">есть 0. </w:t>
      </w:r>
    </w:p>
    <w:p w14:paraId="0FC0CB3E" w14:textId="7241B7C0" w:rsidR="00C51A2A" w:rsidRDefault="00C51A2A" w:rsidP="00C51A2A">
      <w:pPr>
        <w:shd w:val="clear" w:color="auto" w:fill="FFFFFF"/>
        <w:ind w:firstLine="567"/>
        <w:jc w:val="both"/>
      </w:pPr>
    </w:p>
    <w:p w14:paraId="5E3343B9" w14:textId="3E88DA31" w:rsidR="00C51A2A" w:rsidRDefault="00C51A2A" w:rsidP="00C51A2A">
      <w:pPr>
        <w:shd w:val="clear" w:color="auto" w:fill="FFFFFF"/>
        <w:jc w:val="center"/>
      </w:pPr>
      <w:r w:rsidRPr="00C51A2A">
        <w:drawing>
          <wp:inline distT="0" distB="0" distL="0" distR="0" wp14:anchorId="232764EA" wp14:editId="14A92EC1">
            <wp:extent cx="848497" cy="818408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456" cy="8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2E36" w14:textId="1BA737FA" w:rsidR="00C51A2A" w:rsidRDefault="00C51A2A" w:rsidP="00C51A2A">
      <w:pPr>
        <w:shd w:val="clear" w:color="auto" w:fill="FFFFFF"/>
        <w:jc w:val="center"/>
      </w:pPr>
      <w:r>
        <w:t xml:space="preserve">Рис. </w:t>
      </w:r>
      <w:r>
        <w:rPr>
          <w:lang w:val="en-US"/>
        </w:rPr>
        <w:t>6</w:t>
      </w:r>
      <w:r>
        <w:t>.</w:t>
      </w:r>
      <w:r>
        <w:rPr>
          <w:lang w:val="en-US"/>
        </w:rPr>
        <w:t>4</w:t>
      </w:r>
      <w:r>
        <w:t xml:space="preserve"> Функция «или»</w:t>
      </w:r>
    </w:p>
    <w:p w14:paraId="23AEC638" w14:textId="77777777" w:rsidR="00C51A2A" w:rsidRDefault="00C51A2A" w:rsidP="00C51A2A">
      <w:pPr>
        <w:shd w:val="clear" w:color="auto" w:fill="FFFFFF"/>
        <w:ind w:firstLine="567"/>
        <w:jc w:val="both"/>
      </w:pPr>
    </w:p>
    <w:p w14:paraId="1C6C1F03" w14:textId="77777777" w:rsidR="00C51A2A" w:rsidRDefault="00C51A2A" w:rsidP="00C51A2A">
      <w:pPr>
        <w:shd w:val="clear" w:color="auto" w:fill="FFFFFF"/>
        <w:ind w:firstLine="567"/>
        <w:jc w:val="both"/>
      </w:pPr>
      <w:r>
        <w:t xml:space="preserve">Функция «и» (рис. </w:t>
      </w:r>
      <w:r w:rsidRPr="00C51A2A">
        <w:t>6.5</w:t>
      </w:r>
      <w:r>
        <w:t xml:space="preserve">) устанавливает, что если и </w:t>
      </w:r>
      <w:r>
        <w:rPr>
          <w:lang w:val="en-US"/>
        </w:rPr>
        <w:t>c</w:t>
      </w:r>
      <w:r w:rsidRPr="00C51A2A">
        <w:rPr>
          <w:vertAlign w:val="subscript"/>
        </w:rPr>
        <w:t>1</w:t>
      </w:r>
      <w:r>
        <w:t xml:space="preserve">, и </w:t>
      </w:r>
      <w:r>
        <w:rPr>
          <w:lang w:val="en-US"/>
        </w:rPr>
        <w:t>c</w:t>
      </w:r>
      <w:r w:rsidRPr="00C51A2A">
        <w:rPr>
          <w:vertAlign w:val="subscript"/>
        </w:rPr>
        <w:t>2</w:t>
      </w:r>
      <w:r w:rsidRPr="00C51A2A">
        <w:t xml:space="preserve"> </w:t>
      </w:r>
      <w:r>
        <w:t xml:space="preserve">есть 1, то </w:t>
      </w:r>
      <w:r>
        <w:rPr>
          <w:lang w:val="en-US"/>
        </w:rPr>
        <w:t>e</w:t>
      </w:r>
      <w:r w:rsidRPr="00C51A2A">
        <w:rPr>
          <w:vertAlign w:val="subscript"/>
        </w:rPr>
        <w:t>1</w:t>
      </w:r>
      <w:r w:rsidRPr="00C51A2A">
        <w:t xml:space="preserve"> </w:t>
      </w:r>
      <w:r>
        <w:t xml:space="preserve">есть 1. В противном случае есть 0. </w:t>
      </w:r>
    </w:p>
    <w:p w14:paraId="2B37449A" w14:textId="200E3AEB" w:rsidR="00C51A2A" w:rsidRDefault="00C51A2A" w:rsidP="00C51A2A">
      <w:pPr>
        <w:shd w:val="clear" w:color="auto" w:fill="FFFFFF"/>
        <w:jc w:val="center"/>
      </w:pPr>
      <w:r w:rsidRPr="00C51A2A">
        <w:drawing>
          <wp:inline distT="0" distB="0" distL="0" distR="0" wp14:anchorId="5CF702C4" wp14:editId="1BCBB120">
            <wp:extent cx="922637" cy="837657"/>
            <wp:effectExtent l="0" t="0" r="508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761" cy="8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F0BC" w14:textId="40629A15" w:rsidR="00C51A2A" w:rsidRDefault="00C51A2A" w:rsidP="00C51A2A">
      <w:pPr>
        <w:shd w:val="clear" w:color="auto" w:fill="FFFFFF"/>
        <w:jc w:val="center"/>
      </w:pPr>
      <w:r>
        <w:t xml:space="preserve">Рис. </w:t>
      </w:r>
      <w:r w:rsidRPr="00C51A2A">
        <w:t xml:space="preserve">6.5 </w:t>
      </w:r>
      <w:r>
        <w:t>Функция «и»</w:t>
      </w:r>
    </w:p>
    <w:p w14:paraId="571952D5" w14:textId="77777777" w:rsidR="00C51A2A" w:rsidRDefault="00C51A2A" w:rsidP="00C51A2A">
      <w:pPr>
        <w:shd w:val="clear" w:color="auto" w:fill="FFFFFF"/>
        <w:ind w:firstLine="567"/>
        <w:jc w:val="both"/>
      </w:pPr>
    </w:p>
    <w:p w14:paraId="1F9880AB" w14:textId="77777777" w:rsidR="00C51A2A" w:rsidRDefault="00C51A2A" w:rsidP="00C51A2A">
      <w:pPr>
        <w:shd w:val="clear" w:color="auto" w:fill="FFFFFF"/>
        <w:ind w:firstLine="567"/>
        <w:jc w:val="both"/>
      </w:pPr>
      <w:r>
        <w:t xml:space="preserve">На третьем шаге рассматриваемого способа тестирования граф преобразуется в таблицу решений. Порядок генерации таблицы решений [1]: </w:t>
      </w:r>
    </w:p>
    <w:p w14:paraId="1058E6D5" w14:textId="1A13AAF8" w:rsidR="00C51A2A" w:rsidRDefault="00C51A2A" w:rsidP="00C51A2A">
      <w:pPr>
        <w:shd w:val="clear" w:color="auto" w:fill="FFFFFF"/>
        <w:ind w:firstLine="567"/>
        <w:jc w:val="both"/>
      </w:pPr>
      <w:r>
        <w:t>1)</w:t>
      </w:r>
      <w:r w:rsidRPr="00C51A2A">
        <w:t xml:space="preserve"> </w:t>
      </w:r>
      <w:r>
        <w:t xml:space="preserve">Выбирается некоторое следствие, которое должно быть в состоянии «1». </w:t>
      </w:r>
    </w:p>
    <w:p w14:paraId="2AC806DD" w14:textId="55810347" w:rsidR="00C51A2A" w:rsidRDefault="00C51A2A" w:rsidP="00C51A2A">
      <w:pPr>
        <w:shd w:val="clear" w:color="auto" w:fill="FFFFFF"/>
        <w:ind w:firstLine="567"/>
        <w:jc w:val="both"/>
      </w:pPr>
      <w:r>
        <w:t>2)</w:t>
      </w:r>
      <w:r w:rsidR="00A11609" w:rsidRPr="00A11609">
        <w:t xml:space="preserve"> </w:t>
      </w:r>
      <w:r>
        <w:t xml:space="preserve">Находятся все комбинации причин (с учетом ограничений), которые устанавливают это следствие в состояние «1». Для этого из следствия прокладывается обратная трасса через граф. </w:t>
      </w:r>
    </w:p>
    <w:p w14:paraId="072FB7EB" w14:textId="7CC7DDDB" w:rsidR="00C51A2A" w:rsidRDefault="00C51A2A" w:rsidP="00C51A2A">
      <w:pPr>
        <w:shd w:val="clear" w:color="auto" w:fill="FFFFFF"/>
        <w:ind w:firstLine="567"/>
        <w:jc w:val="both"/>
      </w:pPr>
      <w:r>
        <w:t>3)</w:t>
      </w:r>
      <w:r w:rsidR="00A11609" w:rsidRPr="00A11609">
        <w:t xml:space="preserve"> </w:t>
      </w:r>
      <w:r>
        <w:t xml:space="preserve">Для каждой комбинации причин, приводящих следствие в состояние «1», строится один столбец. </w:t>
      </w:r>
    </w:p>
    <w:p w14:paraId="54CF5383" w14:textId="7B7165CA" w:rsidR="00A11609" w:rsidRDefault="00C51A2A" w:rsidP="00C51A2A">
      <w:pPr>
        <w:shd w:val="clear" w:color="auto" w:fill="FFFFFF"/>
        <w:ind w:firstLine="567"/>
        <w:jc w:val="both"/>
      </w:pPr>
      <w:r>
        <w:t>4)</w:t>
      </w:r>
      <w:r w:rsidR="00A11609" w:rsidRPr="00A11609">
        <w:t xml:space="preserve"> </w:t>
      </w:r>
      <w:r>
        <w:t xml:space="preserve">Для каждой комбинации причин доопределяются состояния всех других следствий. Они помещаются в тот же столбец таблицы решений. </w:t>
      </w:r>
    </w:p>
    <w:p w14:paraId="034D02D5" w14:textId="617EF45F" w:rsidR="00C51A2A" w:rsidRDefault="00C51A2A" w:rsidP="00C51A2A">
      <w:pPr>
        <w:shd w:val="clear" w:color="auto" w:fill="FFFFFF"/>
        <w:ind w:firstLine="567"/>
        <w:jc w:val="both"/>
      </w:pPr>
      <w:r>
        <w:t xml:space="preserve">5) Действия 1–4 повторяются для всех следствий графа. На четвертом шаге данного способа тестирования столбцы таблицы решений преобразуются в тестовые варианты. </w:t>
      </w:r>
    </w:p>
    <w:p w14:paraId="3C724CCB" w14:textId="77777777" w:rsidR="00C51A2A" w:rsidRDefault="00C51A2A" w:rsidP="00C51A2A">
      <w:pPr>
        <w:shd w:val="clear" w:color="auto" w:fill="FFFFFF"/>
        <w:ind w:firstLine="567"/>
        <w:jc w:val="both"/>
      </w:pPr>
    </w:p>
    <w:p w14:paraId="70960D6B" w14:textId="77777777" w:rsidR="00C848BA" w:rsidRPr="00C848BA" w:rsidRDefault="00C848BA" w:rsidP="00C848BA">
      <w:pPr>
        <w:shd w:val="clear" w:color="auto" w:fill="FFFFFF"/>
        <w:jc w:val="center"/>
        <w:rPr>
          <w:b/>
        </w:rPr>
      </w:pPr>
      <w:r w:rsidRPr="00C848BA">
        <w:rPr>
          <w:b/>
        </w:rPr>
        <w:t>Практическое задание:</w:t>
      </w:r>
    </w:p>
    <w:p w14:paraId="478DBB08" w14:textId="77777777" w:rsidR="00C848BA" w:rsidRDefault="00C848BA" w:rsidP="00C848BA">
      <w:pPr>
        <w:shd w:val="clear" w:color="auto" w:fill="FFFFFF"/>
        <w:ind w:firstLine="567"/>
        <w:jc w:val="both"/>
      </w:pPr>
      <w:r>
        <w:t xml:space="preserve">Задание </w:t>
      </w:r>
    </w:p>
    <w:p w14:paraId="234D07BC" w14:textId="77777777" w:rsidR="00C848BA" w:rsidRDefault="00C848BA" w:rsidP="00C848BA">
      <w:pPr>
        <w:shd w:val="clear" w:color="auto" w:fill="FFFFFF"/>
        <w:ind w:firstLine="567"/>
        <w:jc w:val="both"/>
      </w:pPr>
      <w:r>
        <w:t>Выполнение работы предусматривает следующую последовательность действий:</w:t>
      </w:r>
    </w:p>
    <w:p w14:paraId="5D2E8B5D" w14:textId="7F18FA1F" w:rsidR="00C848BA" w:rsidRDefault="00C848BA" w:rsidP="00C848BA">
      <w:pPr>
        <w:shd w:val="clear" w:color="auto" w:fill="FFFFFF"/>
        <w:ind w:firstLine="567"/>
        <w:jc w:val="both"/>
      </w:pPr>
      <w:r>
        <w:t xml:space="preserve">1. Определение </w:t>
      </w:r>
      <w:proofErr w:type="gramStart"/>
      <w:r>
        <w:t>причин(</w:t>
      </w:r>
      <w:proofErr w:type="gramEnd"/>
      <w:r>
        <w:t>условий ввода) и следствий;</w:t>
      </w:r>
    </w:p>
    <w:p w14:paraId="5DA56758" w14:textId="70B9BEA7" w:rsidR="00C848BA" w:rsidRDefault="00C848BA" w:rsidP="00C848BA">
      <w:pPr>
        <w:shd w:val="clear" w:color="auto" w:fill="FFFFFF"/>
        <w:ind w:firstLine="567"/>
        <w:jc w:val="both"/>
      </w:pPr>
      <w:r>
        <w:t>2. Построение графа причинно-следственных связей;</w:t>
      </w:r>
    </w:p>
    <w:p w14:paraId="2D7A7EC6" w14:textId="4F8A4988" w:rsidR="00C848BA" w:rsidRDefault="00C848BA" w:rsidP="00C848BA">
      <w:pPr>
        <w:shd w:val="clear" w:color="auto" w:fill="FFFFFF"/>
        <w:ind w:firstLine="567"/>
        <w:jc w:val="both"/>
      </w:pPr>
      <w:r>
        <w:lastRenderedPageBreak/>
        <w:t>3. Создание таблиц решений;</w:t>
      </w:r>
    </w:p>
    <w:p w14:paraId="4F5E49AC" w14:textId="6945ECD4" w:rsidR="00C848BA" w:rsidRDefault="00C848BA" w:rsidP="00C848BA">
      <w:pPr>
        <w:shd w:val="clear" w:color="auto" w:fill="FFFFFF"/>
        <w:ind w:firstLine="567"/>
        <w:jc w:val="both"/>
      </w:pPr>
      <w:r>
        <w:t>4. Построение тестовых вариантов;</w:t>
      </w:r>
    </w:p>
    <w:p w14:paraId="6F3D19DB" w14:textId="7A62D6E4" w:rsidR="00C848BA" w:rsidRDefault="00C848BA" w:rsidP="00C848BA">
      <w:pPr>
        <w:shd w:val="clear" w:color="auto" w:fill="FFFFFF"/>
        <w:ind w:firstLine="567"/>
        <w:jc w:val="both"/>
      </w:pPr>
      <w:r>
        <w:t>5. Оформление результатов тестирования.</w:t>
      </w:r>
    </w:p>
    <w:p w14:paraId="1615E69D" w14:textId="77777777" w:rsidR="00C848BA" w:rsidRDefault="00C848BA" w:rsidP="00C848BA">
      <w:pPr>
        <w:shd w:val="clear" w:color="auto" w:fill="FFFFFF"/>
        <w:ind w:firstLine="567"/>
        <w:jc w:val="both"/>
      </w:pPr>
      <w:r>
        <w:t>В отчет по лабораторной работе входят:</w:t>
      </w:r>
    </w:p>
    <w:p w14:paraId="613CD8D8" w14:textId="77777777" w:rsidR="00C848BA" w:rsidRDefault="00C848BA" w:rsidP="00C848BA">
      <w:pPr>
        <w:shd w:val="clear" w:color="auto" w:fill="FFFFFF"/>
        <w:ind w:firstLine="567"/>
        <w:jc w:val="both"/>
      </w:pPr>
      <w:r>
        <w:t>1. Перечень причин и следствий;</w:t>
      </w:r>
    </w:p>
    <w:p w14:paraId="7657BF11" w14:textId="77777777" w:rsidR="00C848BA" w:rsidRDefault="00C848BA" w:rsidP="00C848BA">
      <w:pPr>
        <w:shd w:val="clear" w:color="auto" w:fill="FFFFFF"/>
        <w:ind w:firstLine="567"/>
        <w:jc w:val="both"/>
      </w:pPr>
      <w:r>
        <w:t>2. Граф причинно-следственных связей;</w:t>
      </w:r>
    </w:p>
    <w:p w14:paraId="1F49DEE5" w14:textId="77777777" w:rsidR="00C848BA" w:rsidRDefault="00C848BA" w:rsidP="00C848BA">
      <w:pPr>
        <w:shd w:val="clear" w:color="auto" w:fill="FFFFFF"/>
        <w:ind w:firstLine="567"/>
        <w:jc w:val="both"/>
      </w:pPr>
      <w:r>
        <w:t>3. Таблица решений;</w:t>
      </w:r>
    </w:p>
    <w:p w14:paraId="6FF8CA6F" w14:textId="77777777" w:rsidR="00C848BA" w:rsidRDefault="00C848BA" w:rsidP="00C848BA">
      <w:pPr>
        <w:shd w:val="clear" w:color="auto" w:fill="FFFFFF"/>
        <w:ind w:firstLine="567"/>
        <w:jc w:val="both"/>
      </w:pPr>
      <w:r>
        <w:t>4. Тестовые варианты;</w:t>
      </w:r>
    </w:p>
    <w:p w14:paraId="779615A0" w14:textId="367AFCF6" w:rsidR="00C848BA" w:rsidRDefault="00C848BA" w:rsidP="00C848BA">
      <w:pPr>
        <w:shd w:val="clear" w:color="auto" w:fill="FFFFFF"/>
        <w:ind w:firstLine="567"/>
        <w:jc w:val="both"/>
      </w:pPr>
      <w:r>
        <w:t>5. Результаты тестирования.</w:t>
      </w:r>
    </w:p>
    <w:p w14:paraId="48520F01" w14:textId="77777777" w:rsidR="00C848BA" w:rsidRPr="00C848BA" w:rsidRDefault="00C848BA" w:rsidP="00C848BA">
      <w:pPr>
        <w:ind w:firstLine="540"/>
        <w:jc w:val="center"/>
        <w:rPr>
          <w:bCs/>
          <w:szCs w:val="28"/>
        </w:rPr>
      </w:pPr>
      <w:r w:rsidRPr="00C848BA">
        <w:rPr>
          <w:bCs/>
          <w:szCs w:val="28"/>
        </w:rPr>
        <w:t>Варианты задания</w:t>
      </w:r>
    </w:p>
    <w:p w14:paraId="0F167A19" w14:textId="77777777" w:rsidR="00C848BA" w:rsidRPr="00C848BA" w:rsidRDefault="00C848BA" w:rsidP="00C848BA">
      <w:pPr>
        <w:spacing w:before="120"/>
        <w:ind w:firstLine="567"/>
        <w:jc w:val="both"/>
      </w:pPr>
      <w:r w:rsidRPr="00C848BA">
        <w:t xml:space="preserve">Построить таблицу значений функции </w:t>
      </w:r>
      <w:r w:rsidRPr="00C848BA">
        <w:rPr>
          <w:i/>
        </w:rPr>
        <w:t>y</w:t>
      </w:r>
      <w:r w:rsidRPr="00C848BA">
        <w:t>=</w:t>
      </w:r>
      <w:r w:rsidRPr="00C848BA">
        <w:rPr>
          <w:i/>
        </w:rPr>
        <w:t>f(x)</w:t>
      </w:r>
      <w:r w:rsidRPr="00C848BA">
        <w:t xml:space="preserve">, </w:t>
      </w:r>
      <w:r w:rsidRPr="00C848BA">
        <w:rPr>
          <w:i/>
        </w:rPr>
        <w:t>x</w:t>
      </w:r>
      <w:r w:rsidRPr="00C848BA">
        <w:t xml:space="preserve"> изменяется от </w:t>
      </w:r>
      <w:proofErr w:type="spellStart"/>
      <w:r w:rsidRPr="00C848BA">
        <w:rPr>
          <w:i/>
        </w:rPr>
        <w:t>x</w:t>
      </w:r>
      <w:r w:rsidRPr="00C848BA">
        <w:rPr>
          <w:i/>
          <w:vertAlign w:val="subscript"/>
        </w:rPr>
        <w:t>min</w:t>
      </w:r>
      <w:proofErr w:type="spellEnd"/>
      <w:r w:rsidRPr="00C848BA">
        <w:t xml:space="preserve"> до </w:t>
      </w:r>
      <w:proofErr w:type="spellStart"/>
      <w:r w:rsidRPr="00C848BA">
        <w:rPr>
          <w:i/>
        </w:rPr>
        <w:t>x</w:t>
      </w:r>
      <w:r w:rsidRPr="00C848BA">
        <w:rPr>
          <w:i/>
          <w:vertAlign w:val="subscript"/>
        </w:rPr>
        <w:t>max</w:t>
      </w:r>
      <w:proofErr w:type="spellEnd"/>
      <w:r w:rsidRPr="00C848BA">
        <w:t xml:space="preserve"> с шагом </w:t>
      </w:r>
      <w:proofErr w:type="spellStart"/>
      <w:r w:rsidRPr="00C848BA">
        <w:rPr>
          <w:i/>
        </w:rPr>
        <w:t>dx</w:t>
      </w:r>
      <w:proofErr w:type="spellEnd"/>
      <w:r w:rsidRPr="00C848BA">
        <w:t xml:space="preserve">. Проконтролировать правильность ввода </w:t>
      </w:r>
      <w:proofErr w:type="spellStart"/>
      <w:r w:rsidRPr="00C848BA">
        <w:rPr>
          <w:i/>
        </w:rPr>
        <w:t>x</w:t>
      </w:r>
      <w:r w:rsidRPr="00C848BA">
        <w:rPr>
          <w:i/>
          <w:vertAlign w:val="subscript"/>
        </w:rPr>
        <w:t>min</w:t>
      </w:r>
      <w:proofErr w:type="spellEnd"/>
      <w:r w:rsidRPr="00C848BA">
        <w:t xml:space="preserve">, </w:t>
      </w:r>
      <w:proofErr w:type="spellStart"/>
      <w:r w:rsidRPr="00C848BA">
        <w:rPr>
          <w:i/>
        </w:rPr>
        <w:t>x</w:t>
      </w:r>
      <w:r w:rsidRPr="00C848BA">
        <w:rPr>
          <w:i/>
          <w:vertAlign w:val="subscript"/>
        </w:rPr>
        <w:t>max</w:t>
      </w:r>
      <w:proofErr w:type="spellEnd"/>
      <w:r w:rsidRPr="00C848BA">
        <w:t xml:space="preserve">, </w:t>
      </w:r>
      <w:proofErr w:type="spellStart"/>
      <w:r w:rsidRPr="00C848BA">
        <w:rPr>
          <w:i/>
        </w:rPr>
        <w:t>dx</w:t>
      </w:r>
      <w:proofErr w:type="spellEnd"/>
      <w:r w:rsidRPr="00C848BA">
        <w:t xml:space="preserve"> и корректность вычисляемого выражения.</w:t>
      </w:r>
    </w:p>
    <w:p w14:paraId="6C56D7A9" w14:textId="77777777" w:rsidR="00C848BA" w:rsidRPr="008A1542" w:rsidRDefault="00C848BA" w:rsidP="00C848BA">
      <w:pPr>
        <w:pStyle w:val="BodyText"/>
        <w:ind w:firstLine="567"/>
        <w:rPr>
          <w:b w:val="0"/>
          <w:sz w:val="24"/>
          <w:szCs w:val="24"/>
        </w:rPr>
      </w:pPr>
      <w:r w:rsidRPr="008A1542">
        <w:rPr>
          <w:b w:val="0"/>
          <w:sz w:val="24"/>
          <w:szCs w:val="24"/>
        </w:rPr>
        <w:t>Примечание. В протоколе необходимо указать порядок выполнения операций в соответствии с их приоритетом.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53"/>
      </w:tblGrid>
      <w:tr w:rsidR="00C848BA" w:rsidRPr="004214FA" w14:paraId="3C528DF8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9C72A4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1. </w:t>
            </w:r>
            <w:r w:rsidR="009655E4" w:rsidRPr="009655E4">
              <w:rPr>
                <w:b w:val="0"/>
                <w:noProof/>
                <w:position w:val="-36"/>
                <w:sz w:val="24"/>
                <w:szCs w:val="24"/>
                <w:lang w:val="en-US"/>
              </w:rPr>
              <w:object w:dxaOrig="3500" w:dyaOrig="820" w14:anchorId="317EEA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174.5pt;height:40.85pt;mso-width-percent:0;mso-height-percent:0;mso-width-percent:0;mso-height-percent:0" o:ole="" fillcolor="window">
                  <v:imagedata r:id="rId10" o:title=""/>
                </v:shape>
                <o:OLEObject Type="Embed" ProgID="Equation.3" ShapeID="_x0000_i1040" DrawAspect="Content" ObjectID="_1604320950" r:id="rId11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EE6EE58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2. </w:t>
            </w:r>
            <w:r w:rsidR="009655E4" w:rsidRPr="009655E4">
              <w:rPr>
                <w:b w:val="0"/>
                <w:noProof/>
                <w:position w:val="-30"/>
                <w:sz w:val="24"/>
                <w:szCs w:val="24"/>
                <w:lang w:val="en-US"/>
              </w:rPr>
              <w:object w:dxaOrig="3180" w:dyaOrig="840" w14:anchorId="7C0312A2">
                <v:shape id="_x0000_i1039" type="#_x0000_t75" alt="" style="width:158.9pt;height:42.15pt;mso-width-percent:0;mso-height-percent:0;mso-width-percent:0;mso-height-percent:0" o:ole="" fillcolor="window">
                  <v:imagedata r:id="rId12" o:title=""/>
                </v:shape>
                <o:OLEObject Type="Embed" ProgID="Equation.3" ShapeID="_x0000_i1039" DrawAspect="Content" ObjectID="_1604320951" r:id="rId13"/>
              </w:object>
            </w:r>
          </w:p>
        </w:tc>
      </w:tr>
      <w:tr w:rsidR="00C848BA" w:rsidRPr="004214FA" w14:paraId="7297A8F7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61D416E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3. </w:t>
            </w:r>
            <w:r w:rsidR="009655E4" w:rsidRPr="009655E4">
              <w:rPr>
                <w:b w:val="0"/>
                <w:noProof/>
                <w:position w:val="-32"/>
                <w:sz w:val="24"/>
                <w:szCs w:val="24"/>
                <w:lang w:val="en-US"/>
              </w:rPr>
              <w:object w:dxaOrig="2620" w:dyaOrig="840" w14:anchorId="0DB1FC0C">
                <v:shape id="_x0000_i1038" type="#_x0000_t75" alt="" style="width:130.4pt;height:42.15pt;mso-width-percent:0;mso-height-percent:0;mso-width-percent:0;mso-height-percent:0" o:ole="" fillcolor="window">
                  <v:imagedata r:id="rId14" o:title=""/>
                </v:shape>
                <o:OLEObject Type="Embed" ProgID="Equation.3" ShapeID="_x0000_i1038" DrawAspect="Content" ObjectID="_1604320952" r:id="rId15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6B63E6BC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4. </w:t>
            </w:r>
            <w:r w:rsidR="009655E4" w:rsidRPr="009655E4">
              <w:rPr>
                <w:b w:val="0"/>
                <w:noProof/>
                <w:position w:val="-30"/>
                <w:sz w:val="24"/>
                <w:szCs w:val="24"/>
                <w:lang w:val="en-US"/>
              </w:rPr>
              <w:object w:dxaOrig="2460" w:dyaOrig="820" w14:anchorId="4382F1FD">
                <v:shape id="_x0000_i1037" type="#_x0000_t75" alt="" style="width:122.6pt;height:40.85pt;mso-width-percent:0;mso-height-percent:0;mso-width-percent:0;mso-height-percent:0" o:ole="" fillcolor="window">
                  <v:imagedata r:id="rId16" o:title=""/>
                </v:shape>
                <o:OLEObject Type="Embed" ProgID="Equation.3" ShapeID="_x0000_i1037" DrawAspect="Content" ObjectID="_1604320953" r:id="rId17"/>
              </w:object>
            </w:r>
          </w:p>
        </w:tc>
      </w:tr>
      <w:tr w:rsidR="00C848BA" w:rsidRPr="004214FA" w14:paraId="3EDFDA6A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39F082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5. </w:t>
            </w:r>
            <w:r w:rsidR="009655E4" w:rsidRPr="009655E4">
              <w:rPr>
                <w:b w:val="0"/>
                <w:noProof/>
                <w:position w:val="-32"/>
                <w:sz w:val="24"/>
                <w:szCs w:val="24"/>
                <w:lang w:val="en-US"/>
              </w:rPr>
              <w:object w:dxaOrig="2820" w:dyaOrig="840" w14:anchorId="04457EEC">
                <v:shape id="_x0000_i1036" type="#_x0000_t75" alt="" style="width:140.75pt;height:42.15pt;mso-width-percent:0;mso-height-percent:0;mso-width-percent:0;mso-height-percent:0" o:ole="" fillcolor="window">
                  <v:imagedata r:id="rId18" o:title=""/>
                </v:shape>
                <o:OLEObject Type="Embed" ProgID="Equation.3" ShapeID="_x0000_i1036" DrawAspect="Content" ObjectID="_1604320954" r:id="rId19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2CCC90E8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6. </w:t>
            </w:r>
            <w:r w:rsidR="009655E4" w:rsidRPr="009655E4">
              <w:rPr>
                <w:noProof/>
                <w:position w:val="-30"/>
                <w:sz w:val="24"/>
                <w:szCs w:val="24"/>
                <w:lang w:val="en-US"/>
              </w:rPr>
              <w:object w:dxaOrig="3360" w:dyaOrig="820" w14:anchorId="47C9AE3F">
                <v:shape id="_x0000_i1035" type="#_x0000_t75" alt="" style="width:167.35pt;height:40.85pt;mso-width-percent:0;mso-height-percent:0;mso-width-percent:0;mso-height-percent:0" o:ole="" fillcolor="window">
                  <v:imagedata r:id="rId20" o:title=""/>
                </v:shape>
                <o:OLEObject Type="Embed" ProgID="Equation.3" ShapeID="_x0000_i1035" DrawAspect="Content" ObjectID="_1604320955" r:id="rId21"/>
              </w:object>
            </w:r>
          </w:p>
        </w:tc>
      </w:tr>
      <w:tr w:rsidR="00C848BA" w:rsidRPr="004214FA" w14:paraId="56BBB4E1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CCAEEF3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7. </w:t>
            </w:r>
            <w:r w:rsidR="009655E4" w:rsidRPr="009655E4">
              <w:rPr>
                <w:noProof/>
                <w:position w:val="-30"/>
                <w:sz w:val="24"/>
                <w:szCs w:val="24"/>
                <w:lang w:val="en-US"/>
              </w:rPr>
              <w:object w:dxaOrig="2780" w:dyaOrig="859" w14:anchorId="578E5FE9">
                <v:shape id="_x0000_i1034" type="#_x0000_t75" alt="" style="width:138.8pt;height:42.8pt;mso-width-percent:0;mso-height-percent:0;mso-width-percent:0;mso-height-percent:0" o:ole="" fillcolor="window">
                  <v:imagedata r:id="rId22" o:title=""/>
                </v:shape>
                <o:OLEObject Type="Embed" ProgID="Equation.3" ShapeID="_x0000_i1034" DrawAspect="Content" ObjectID="_1604320956" r:id="rId23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003D9CF9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8. </w:t>
            </w:r>
            <w:r w:rsidR="009655E4" w:rsidRPr="009655E4">
              <w:rPr>
                <w:b w:val="0"/>
                <w:noProof/>
                <w:position w:val="-28"/>
                <w:sz w:val="24"/>
                <w:szCs w:val="24"/>
                <w:lang w:val="en-US"/>
              </w:rPr>
              <w:object w:dxaOrig="3560" w:dyaOrig="740" w14:anchorId="51E70A67">
                <v:shape id="_x0000_i1033" type="#_x0000_t75" alt="" style="width:177.75pt;height:36.95pt;mso-width-percent:0;mso-height-percent:0;mso-width-percent:0;mso-height-percent:0" o:ole="" fillcolor="window">
                  <v:imagedata r:id="rId24" o:title=""/>
                </v:shape>
                <o:OLEObject Type="Embed" ProgID="Equation.3" ShapeID="_x0000_i1033" DrawAspect="Content" ObjectID="_1604320957" r:id="rId25"/>
              </w:object>
            </w:r>
          </w:p>
        </w:tc>
      </w:tr>
      <w:tr w:rsidR="00C848BA" w:rsidRPr="004214FA" w14:paraId="3B1BF7E5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A16ECF5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9. </w:t>
            </w:r>
            <w:r w:rsidR="009655E4" w:rsidRPr="009655E4">
              <w:rPr>
                <w:noProof/>
                <w:position w:val="-36"/>
                <w:sz w:val="24"/>
                <w:szCs w:val="24"/>
                <w:lang w:val="en-US"/>
              </w:rPr>
              <w:object w:dxaOrig="3600" w:dyaOrig="880" w14:anchorId="7FE4BEA9">
                <v:shape id="_x0000_i1032" type="#_x0000_t75" alt="" style="width:180.3pt;height:44.1pt;mso-width-percent:0;mso-height-percent:0;mso-width-percent:0;mso-height-percent:0" o:ole="" fillcolor="window">
                  <v:imagedata r:id="rId26" o:title=""/>
                </v:shape>
                <o:OLEObject Type="Embed" ProgID="Equation.3" ShapeID="_x0000_i1032" DrawAspect="Content" ObjectID="_1604320958" r:id="rId27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C8D7DB2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10. </w:t>
            </w:r>
            <w:r w:rsidR="009655E4" w:rsidRPr="009655E4">
              <w:rPr>
                <w:noProof/>
                <w:position w:val="-20"/>
                <w:sz w:val="24"/>
                <w:szCs w:val="24"/>
                <w:lang w:val="en-US"/>
              </w:rPr>
              <w:object w:dxaOrig="3060" w:dyaOrig="740" w14:anchorId="33AEA66F">
                <v:shape id="_x0000_i1031" type="#_x0000_t75" alt="" style="width:153.1pt;height:36.95pt;mso-width-percent:0;mso-height-percent:0;mso-width-percent:0;mso-height-percent:0" o:ole="" fillcolor="window">
                  <v:imagedata r:id="rId28" o:title=""/>
                </v:shape>
                <o:OLEObject Type="Embed" ProgID="Equation.3" ShapeID="_x0000_i1031" DrawAspect="Content" ObjectID="_1604320959" r:id="rId29"/>
              </w:object>
            </w:r>
          </w:p>
        </w:tc>
      </w:tr>
      <w:tr w:rsidR="00C848BA" w:rsidRPr="004214FA" w14:paraId="358BC7D5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B01EB0D" w14:textId="77777777" w:rsidR="00C848BA" w:rsidRPr="004214FA" w:rsidRDefault="00C848BA" w:rsidP="00AC174E">
            <w:pPr>
              <w:pStyle w:val="BodyText"/>
              <w:spacing w:line="360" w:lineRule="auto"/>
              <w:rPr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11. </w:t>
            </w:r>
            <w:r w:rsidR="009655E4" w:rsidRPr="009655E4">
              <w:rPr>
                <w:b w:val="0"/>
                <w:noProof/>
                <w:position w:val="-28"/>
                <w:sz w:val="24"/>
                <w:szCs w:val="24"/>
                <w:lang w:val="en-US"/>
              </w:rPr>
              <w:object w:dxaOrig="3519" w:dyaOrig="740" w14:anchorId="35131118">
                <v:shape id="_x0000_i1030" type="#_x0000_t75" alt="" style="width:176.45pt;height:36.95pt;mso-width-percent:0;mso-height-percent:0;mso-width-percent:0;mso-height-percent:0" o:ole="" fillcolor="window">
                  <v:imagedata r:id="rId30" o:title=""/>
                </v:shape>
                <o:OLEObject Type="Embed" ProgID="Equation.3" ShapeID="_x0000_i1030" DrawAspect="Content" ObjectID="_1604320960" r:id="rId31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3A329EA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12. </w:t>
            </w:r>
            <w:r w:rsidR="009655E4" w:rsidRPr="009655E4">
              <w:rPr>
                <w:b w:val="0"/>
                <w:noProof/>
                <w:position w:val="-36"/>
                <w:sz w:val="24"/>
                <w:szCs w:val="24"/>
                <w:lang w:val="en-US"/>
              </w:rPr>
              <w:object w:dxaOrig="4260" w:dyaOrig="880" w14:anchorId="4CA4841E">
                <v:shape id="_x0000_i1029" type="#_x0000_t75" alt="" style="width:212.1pt;height:44.1pt;mso-width-percent:0;mso-height-percent:0;mso-width-percent:0;mso-height-percent:0" o:ole="" fillcolor="window">
                  <v:imagedata r:id="rId32" o:title=""/>
                </v:shape>
                <o:OLEObject Type="Embed" ProgID="Equation.3" ShapeID="_x0000_i1029" DrawAspect="Content" ObjectID="_1604320961" r:id="rId33"/>
              </w:object>
            </w:r>
          </w:p>
        </w:tc>
      </w:tr>
      <w:tr w:rsidR="00C848BA" w:rsidRPr="004214FA" w14:paraId="373F4D25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7DF757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13. </w:t>
            </w:r>
            <w:r w:rsidR="009655E4" w:rsidRPr="009655E4">
              <w:rPr>
                <w:b w:val="0"/>
                <w:noProof/>
                <w:position w:val="-36"/>
                <w:sz w:val="24"/>
                <w:szCs w:val="24"/>
                <w:lang w:val="en-US"/>
              </w:rPr>
              <w:object w:dxaOrig="3440" w:dyaOrig="820" w14:anchorId="210EECE1">
                <v:shape id="_x0000_i1028" type="#_x0000_t75" alt="" style="width:171.9pt;height:40.85pt;mso-width-percent:0;mso-height-percent:0;mso-width-percent:0;mso-height-percent:0" o:ole="" fillcolor="window">
                  <v:imagedata r:id="rId34" o:title=""/>
                </v:shape>
                <o:OLEObject Type="Embed" ProgID="Equation.3" ShapeID="_x0000_i1028" DrawAspect="Content" ObjectID="_1604320962" r:id="rId35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5186B0F3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14. </w:t>
            </w:r>
            <w:r w:rsidR="009655E4" w:rsidRPr="009655E4">
              <w:rPr>
                <w:b w:val="0"/>
                <w:noProof/>
                <w:position w:val="-32"/>
                <w:sz w:val="24"/>
                <w:szCs w:val="24"/>
                <w:lang w:val="en-US"/>
              </w:rPr>
              <w:object w:dxaOrig="3019" w:dyaOrig="840" w14:anchorId="6E1FFF9F">
                <v:shape id="_x0000_i1027" type="#_x0000_t75" alt="" style="width:151.15pt;height:42.15pt;mso-width-percent:0;mso-height-percent:0;mso-width-percent:0;mso-height-percent:0" o:ole="" fillcolor="window">
                  <v:imagedata r:id="rId36" o:title=""/>
                </v:shape>
                <o:OLEObject Type="Embed" ProgID="Equation.3" ShapeID="_x0000_i1027" DrawAspect="Content" ObjectID="_1604320963" r:id="rId37"/>
              </w:object>
            </w:r>
          </w:p>
        </w:tc>
      </w:tr>
      <w:tr w:rsidR="00C848BA" w:rsidRPr="004214FA" w14:paraId="756B53E8" w14:textId="77777777" w:rsidTr="00AC17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27F4961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4214FA">
              <w:rPr>
                <w:b w:val="0"/>
                <w:sz w:val="24"/>
                <w:szCs w:val="24"/>
                <w:lang w:val="en-US"/>
              </w:rPr>
              <w:t xml:space="preserve">15. </w:t>
            </w:r>
            <w:r w:rsidR="009655E4" w:rsidRPr="009655E4">
              <w:rPr>
                <w:b w:val="0"/>
                <w:noProof/>
                <w:position w:val="-36"/>
                <w:sz w:val="24"/>
                <w:szCs w:val="24"/>
                <w:lang w:val="en-US"/>
              </w:rPr>
              <w:object w:dxaOrig="3180" w:dyaOrig="900" w14:anchorId="439D7234">
                <v:shape id="_x0000_i1026" type="#_x0000_t75" alt="" style="width:158.9pt;height:44.75pt;mso-width-percent:0;mso-height-percent:0;mso-width-percent:0;mso-height-percent:0" o:ole="" fillcolor="window">
                  <v:imagedata r:id="rId38" o:title=""/>
                </v:shape>
                <o:OLEObject Type="Embed" ProgID="Equation.3" ShapeID="_x0000_i1026" DrawAspect="Content" ObjectID="_1604320964" r:id="rId39"/>
              </w:objec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82EC5E9" w14:textId="77777777" w:rsidR="00C848BA" w:rsidRPr="004214FA" w:rsidRDefault="00C848BA" w:rsidP="00AC174E">
            <w:pPr>
              <w:pStyle w:val="BodyText"/>
              <w:spacing w:line="360" w:lineRule="auto"/>
              <w:rPr>
                <w:b w:val="0"/>
                <w:sz w:val="24"/>
                <w:szCs w:val="24"/>
              </w:rPr>
            </w:pPr>
            <w:r w:rsidRPr="004214FA">
              <w:rPr>
                <w:b w:val="0"/>
                <w:sz w:val="24"/>
                <w:szCs w:val="24"/>
              </w:rPr>
              <w:t xml:space="preserve">16. </w:t>
            </w:r>
            <w:r w:rsidR="009655E4" w:rsidRPr="009655E4">
              <w:rPr>
                <w:b w:val="0"/>
                <w:noProof/>
                <w:position w:val="-12"/>
                <w:sz w:val="24"/>
                <w:szCs w:val="24"/>
              </w:rPr>
              <w:object w:dxaOrig="3120" w:dyaOrig="660" w14:anchorId="62B21A26">
                <v:shape id="_x0000_i1025" type="#_x0000_t75" alt="" style="width:156.3pt;height:33.1pt;mso-width-percent:0;mso-height-percent:0;mso-width-percent:0;mso-height-percent:0" o:ole="" fillcolor="window">
                  <v:imagedata r:id="rId40" o:title=""/>
                </v:shape>
                <o:OLEObject Type="Embed" ProgID="Equation.3" ShapeID="_x0000_i1025" DrawAspect="Content" ObjectID="_1604320965" r:id="rId41"/>
              </w:object>
            </w:r>
          </w:p>
        </w:tc>
      </w:tr>
    </w:tbl>
    <w:p w14:paraId="33B6E793" w14:textId="69387101" w:rsidR="004C31C5" w:rsidRPr="00366AC7" w:rsidRDefault="004C31C5" w:rsidP="005A0B7F">
      <w:pPr>
        <w:shd w:val="clear" w:color="auto" w:fill="FFFFFF"/>
        <w:jc w:val="both"/>
      </w:pPr>
    </w:p>
    <w:sectPr w:rsidR="004C31C5" w:rsidRPr="00366AC7" w:rsidSect="00366AC7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285C62"/>
    <w:lvl w:ilvl="0">
      <w:numFmt w:val="decimal"/>
      <w:lvlText w:val="*"/>
      <w:lvlJc w:val="left"/>
    </w:lvl>
  </w:abstractNum>
  <w:abstractNum w:abstractNumId="1" w15:restartNumberingAfterBreak="0">
    <w:nsid w:val="037F41F8"/>
    <w:multiLevelType w:val="hybridMultilevel"/>
    <w:tmpl w:val="1D78D6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56914"/>
    <w:multiLevelType w:val="hybridMultilevel"/>
    <w:tmpl w:val="F75E719C"/>
    <w:lvl w:ilvl="0" w:tplc="B3322ED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5F5B97"/>
    <w:multiLevelType w:val="hybridMultilevel"/>
    <w:tmpl w:val="FDA6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60BB"/>
    <w:multiLevelType w:val="singleLevel"/>
    <w:tmpl w:val="D68C72EC"/>
    <w:lvl w:ilvl="0">
      <w:start w:val="5"/>
      <w:numFmt w:val="decimal"/>
      <w:lvlText w:val="%1."/>
      <w:legacy w:legacy="1" w:legacySpace="0" w:legacyIndent="111"/>
      <w:lvlJc w:val="left"/>
      <w:rPr>
        <w:rFonts w:ascii="Times New Roman" w:hAnsi="Times New Roman" w:hint="default"/>
      </w:rPr>
    </w:lvl>
  </w:abstractNum>
  <w:abstractNum w:abstractNumId="5" w15:restartNumberingAfterBreak="0">
    <w:nsid w:val="22D20190"/>
    <w:multiLevelType w:val="hybridMultilevel"/>
    <w:tmpl w:val="52D421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B6262"/>
    <w:multiLevelType w:val="singleLevel"/>
    <w:tmpl w:val="D68C72EC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hint="default"/>
      </w:rPr>
    </w:lvl>
  </w:abstractNum>
  <w:abstractNum w:abstractNumId="7" w15:restartNumberingAfterBreak="0">
    <w:nsid w:val="29322C9E"/>
    <w:multiLevelType w:val="hybridMultilevel"/>
    <w:tmpl w:val="C65654A0"/>
    <w:lvl w:ilvl="0" w:tplc="B3322ED4">
      <w:start w:val="1"/>
      <w:numFmt w:val="bullet"/>
      <w:lvlText w:val=""/>
      <w:lvlJc w:val="left"/>
      <w:pPr>
        <w:tabs>
          <w:tab w:val="num" w:pos="1040"/>
        </w:tabs>
        <w:ind w:left="1040" w:firstLine="0"/>
      </w:pPr>
      <w:rPr>
        <w:rFonts w:ascii="Symbol" w:hAnsi="Symbol" w:hint="default"/>
      </w:rPr>
    </w:lvl>
    <w:lvl w:ilvl="1" w:tplc="B3322ED4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2D2769EB"/>
    <w:multiLevelType w:val="singleLevel"/>
    <w:tmpl w:val="D68C72EC"/>
    <w:lvl w:ilvl="0">
      <w:start w:val="1"/>
      <w:numFmt w:val="decimal"/>
      <w:lvlText w:val="%1."/>
      <w:legacy w:legacy="1" w:legacySpace="0" w:legacyIndent="106"/>
      <w:lvlJc w:val="left"/>
      <w:rPr>
        <w:rFonts w:ascii="Times New Roman" w:hAnsi="Times New Roman" w:hint="default"/>
      </w:rPr>
    </w:lvl>
  </w:abstractNum>
  <w:abstractNum w:abstractNumId="9" w15:restartNumberingAfterBreak="0">
    <w:nsid w:val="33BE2AAB"/>
    <w:multiLevelType w:val="singleLevel"/>
    <w:tmpl w:val="CD46A6A4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5B0B0D"/>
    <w:multiLevelType w:val="hybridMultilevel"/>
    <w:tmpl w:val="3CCE3E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E6265E"/>
    <w:multiLevelType w:val="hybridMultilevel"/>
    <w:tmpl w:val="49F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51318"/>
    <w:multiLevelType w:val="singleLevel"/>
    <w:tmpl w:val="D68C72EC"/>
    <w:lvl w:ilvl="0">
      <w:start w:val="1"/>
      <w:numFmt w:val="decimal"/>
      <w:lvlText w:val="%1."/>
      <w:legacy w:legacy="1" w:legacySpace="0" w:legacyIndent="106"/>
      <w:lvlJc w:val="left"/>
      <w:rPr>
        <w:rFonts w:ascii="Times New Roman" w:hAnsi="Times New Roman" w:hint="default"/>
      </w:rPr>
    </w:lvl>
  </w:abstractNum>
  <w:abstractNum w:abstractNumId="13" w15:restartNumberingAfterBreak="0">
    <w:nsid w:val="6DD676C7"/>
    <w:multiLevelType w:val="hybridMultilevel"/>
    <w:tmpl w:val="01E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1D47"/>
    <w:multiLevelType w:val="hybridMultilevel"/>
    <w:tmpl w:val="E3E8EBB2"/>
    <w:lvl w:ilvl="0" w:tplc="B3322ED4">
      <w:start w:val="1"/>
      <w:numFmt w:val="bullet"/>
      <w:lvlText w:val=""/>
      <w:lvlJc w:val="left"/>
      <w:pPr>
        <w:tabs>
          <w:tab w:val="num" w:pos="298"/>
        </w:tabs>
        <w:ind w:left="29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065177D"/>
    <w:multiLevelType w:val="hybridMultilevel"/>
    <w:tmpl w:val="984ACD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674D15"/>
    <w:multiLevelType w:val="hybridMultilevel"/>
    <w:tmpl w:val="ADEA594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B3322ED4">
      <w:start w:val="1"/>
      <w:numFmt w:val="bullet"/>
      <w:lvlText w:val=""/>
      <w:lvlJc w:val="left"/>
      <w:pPr>
        <w:tabs>
          <w:tab w:val="num" w:pos="1760"/>
        </w:tabs>
        <w:ind w:left="17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91"/>
    <w:rsid w:val="00053997"/>
    <w:rsid w:val="00245C91"/>
    <w:rsid w:val="002A416B"/>
    <w:rsid w:val="0031400B"/>
    <w:rsid w:val="00366AC7"/>
    <w:rsid w:val="004A348C"/>
    <w:rsid w:val="004C31C5"/>
    <w:rsid w:val="004D5119"/>
    <w:rsid w:val="005926B2"/>
    <w:rsid w:val="005A0B7F"/>
    <w:rsid w:val="005C1DC0"/>
    <w:rsid w:val="005C426D"/>
    <w:rsid w:val="007C759C"/>
    <w:rsid w:val="007F04DE"/>
    <w:rsid w:val="009655E4"/>
    <w:rsid w:val="00A11609"/>
    <w:rsid w:val="00AF4F4A"/>
    <w:rsid w:val="00B63560"/>
    <w:rsid w:val="00C51A2A"/>
    <w:rsid w:val="00C848BA"/>
    <w:rsid w:val="00DA344D"/>
    <w:rsid w:val="00E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2C3C48"/>
  <w15:chartTrackingRefBased/>
  <w15:docId w15:val="{713B7C8B-FF58-834E-B217-AEC1EC9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hd w:val="clear" w:color="auto" w:fill="FFFFFF"/>
      <w:spacing w:before="120"/>
      <w:ind w:firstLine="680"/>
    </w:pPr>
    <w:rPr>
      <w:rFonts w:ascii="Arial" w:hAnsi="Arial"/>
      <w:b/>
      <w:bCs/>
    </w:rPr>
  </w:style>
  <w:style w:type="paragraph" w:styleId="BodyTextIndent3">
    <w:name w:val="Body Text Indent 3"/>
    <w:basedOn w:val="Normal"/>
    <w:rsid w:val="00245C91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44D"/>
    <w:pPr>
      <w:ind w:left="720"/>
      <w:contextualSpacing/>
    </w:pPr>
  </w:style>
  <w:style w:type="paragraph" w:styleId="BodyText">
    <w:name w:val="Body Text"/>
    <w:basedOn w:val="Normal"/>
    <w:link w:val="BodyTextChar"/>
    <w:rsid w:val="00C848BA"/>
    <w:pPr>
      <w:widowControl w:val="0"/>
      <w:autoSpaceDE w:val="0"/>
      <w:autoSpaceDN w:val="0"/>
      <w:adjustRightInd w:val="0"/>
      <w:spacing w:after="12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48BA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ЛАБОРАТОРНАЯ РАБОТА № 3</vt:lpstr>
      <vt:lpstr>ЛАБОРАТОРНАЯ РАБОТА № 3</vt:lpstr>
    </vt:vector>
  </TitlesOfParts>
  <Company>ASD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subject/>
  <dc:creator>ASD</dc:creator>
  <cp:keywords/>
  <dc:description/>
  <cp:lastModifiedBy>Артем Голубничий</cp:lastModifiedBy>
  <cp:revision>8</cp:revision>
  <dcterms:created xsi:type="dcterms:W3CDTF">2018-10-08T03:12:00Z</dcterms:created>
  <dcterms:modified xsi:type="dcterms:W3CDTF">2018-11-21T08:55:00Z</dcterms:modified>
</cp:coreProperties>
</file>